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1846. “02”——土地流转和乡村养老及农民增收：服务评价与未来意愿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确定行业：14_乡村振兴与县域经济</w:t>
      </w:r>
    </w:p>
    <w:p>
      <w:r>
        <w:rPr>
          <w:rFonts w:ascii="宋体" w:hAnsi="宋体" w:eastAsia="宋体"/>
          <w:b w:val="0"/>
          <w:sz w:val="22"/>
        </w:rPr>
        <w:t>研究对象：14_乡村振兴与县域经济相关目标人群</w:t>
      </w:r>
    </w:p>
    <w:p>
      <w:r>
        <w:rPr>
          <w:rFonts w:ascii="宋体" w:hAnsi="宋体" w:eastAsia="宋体"/>
          <w:b w:val="0"/>
          <w:sz w:val="22"/>
        </w:rPr>
        <w:t>核心问题/变量：土地流转和乡村养老及农民增收：服务评价与未来意愿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