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1848. “04”——传统技艺和美丽乡村：选择逻辑及变化方向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确定行业：14_乡村振兴与县域经济</w:t>
      </w:r>
    </w:p>
    <w:p>
      <w:r>
        <w:rPr>
          <w:rFonts w:ascii="宋体" w:hAnsi="宋体" w:eastAsia="宋体"/>
          <w:b w:val="0"/>
          <w:sz w:val="22"/>
        </w:rPr>
        <w:t>研究对象：14_乡村振兴与县域经济相关目标人群</w:t>
      </w:r>
    </w:p>
    <w:p>
      <w:r>
        <w:rPr>
          <w:rFonts w:ascii="宋体" w:hAnsi="宋体" w:eastAsia="宋体"/>
          <w:b w:val="0"/>
          <w:sz w:val="22"/>
        </w:rPr>
        <w:t>核心问题/变量：传统技艺和美丽乡村：选择逻辑及变化方向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