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1868. “04”——绿色出行及生态保护和碳普惠：人群画像与市场机会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确定行业：15_绿色低碳与循环经济</w:t>
      </w:r>
    </w:p>
    <w:p>
      <w:r>
        <w:rPr>
          <w:rFonts w:ascii="宋体" w:hAnsi="宋体" w:eastAsia="宋体"/>
          <w:b w:val="0"/>
          <w:sz w:val="22"/>
        </w:rPr>
        <w:t>研究对象：15_绿色低碳与循环经济相关目标人群</w:t>
      </w:r>
    </w:p>
    <w:p>
      <w:r>
        <w:rPr>
          <w:rFonts w:ascii="宋体" w:hAnsi="宋体" w:eastAsia="宋体"/>
          <w:b w:val="0"/>
          <w:sz w:val="22"/>
        </w:rPr>
        <w:t>核心问题/变量：绿色出行及生态保护和碳普惠：人群画像与市场机会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