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1874. “10”——循环经济及垃圾分类和节能家电：人群画像与市场机会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确定行业：15_绿色低碳与循环经济</w:t>
      </w:r>
    </w:p>
    <w:p>
      <w:r>
        <w:rPr>
          <w:rFonts w:ascii="宋体" w:hAnsi="宋体" w:eastAsia="宋体"/>
          <w:b w:val="0"/>
          <w:sz w:val="22"/>
        </w:rPr>
        <w:t>研究对象：15_绿色低碳与循环经济相关目标人群</w:t>
      </w:r>
    </w:p>
    <w:p>
      <w:r>
        <w:rPr>
          <w:rFonts w:ascii="宋体" w:hAnsi="宋体" w:eastAsia="宋体"/>
          <w:b w:val="0"/>
          <w:sz w:val="22"/>
        </w:rPr>
        <w:t>核心问题/变量：循环经济及垃圾分类和节能家电：人群画像与市场机会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