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1891. “01”——周边购买与用户社群：消费场景及决策因素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确定行业：16_二次元与青年潮流</w:t>
      </w:r>
    </w:p>
    <w:p>
      <w:r>
        <w:rPr>
          <w:rFonts w:ascii="宋体" w:hAnsi="宋体" w:eastAsia="宋体"/>
          <w:b w:val="0"/>
          <w:sz w:val="22"/>
        </w:rPr>
        <w:t>研究对象：16_二次元与青年潮流相关目标人群</w:t>
      </w:r>
    </w:p>
    <w:p>
      <w:r>
        <w:rPr>
          <w:rFonts w:ascii="宋体" w:hAnsi="宋体" w:eastAsia="宋体"/>
          <w:b w:val="0"/>
          <w:sz w:val="22"/>
        </w:rPr>
        <w:t>核心问题/变量：周边购买与用户社群：消费场景及决策因素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