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1893. “03”——电竞兴趣与角色偏好及内容付费：需求、行为与趋势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确定行业：16_二次元与青年潮流</w:t>
      </w:r>
    </w:p>
    <w:p>
      <w:r>
        <w:rPr>
          <w:rFonts w:ascii="宋体" w:hAnsi="宋体" w:eastAsia="宋体"/>
          <w:b w:val="0"/>
          <w:sz w:val="22"/>
        </w:rPr>
        <w:t>研究对象：16_二次元与青年潮流相关目标人群</w:t>
      </w:r>
    </w:p>
    <w:p>
      <w:r>
        <w:rPr>
          <w:rFonts w:ascii="宋体" w:hAnsi="宋体" w:eastAsia="宋体"/>
          <w:b w:val="0"/>
          <w:sz w:val="22"/>
        </w:rPr>
        <w:t>核心问题/变量：电竞兴趣与角色偏好及内容付费：需求、行为与趋势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