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0"/>
        </w:rPr>
        <w:t>1896. “06”——动漫内容及游戏消费和同人创作：人群画像与市场机会</w:t>
      </w:r>
    </w:p>
    <w:p>
      <w:pPr>
        <w:jc w:val="center"/>
      </w:pPr>
      <w:r>
        <w:rPr>
          <w:rFonts w:ascii="宋体" w:hAnsi="宋体" w:eastAsia="宋体"/>
          <w:b w:val="0"/>
          <w:sz w:val="18"/>
        </w:rPr>
        <w:t>正大杯选题档案 · 选题规范化（匿名选题库）</w:t>
      </w:r>
    </w:p>
    <w:p>
      <w:r>
        <w:rPr>
          <w:rFonts w:ascii="宋体" w:hAnsi="宋体" w:eastAsia="宋体"/>
          <w:b/>
          <w:sz w:val="26"/>
        </w:rPr>
        <w:t>一、选题定位</w:t>
      </w:r>
    </w:p>
    <w:p>
      <w:r>
        <w:rPr>
          <w:rFonts w:ascii="宋体" w:hAnsi="宋体" w:eastAsia="宋体"/>
          <w:b w:val="0"/>
          <w:sz w:val="22"/>
        </w:rPr>
        <w:t>项目类型：市场调查/社会调查</w:t>
      </w:r>
    </w:p>
    <w:p>
      <w:r>
        <w:rPr>
          <w:rFonts w:ascii="宋体" w:hAnsi="宋体" w:eastAsia="宋体"/>
          <w:b w:val="0"/>
          <w:sz w:val="22"/>
        </w:rPr>
        <w:t>研究阶段：early-mid（需求与意愿探索）</w:t>
      </w:r>
    </w:p>
    <w:p>
      <w:r>
        <w:rPr>
          <w:rFonts w:ascii="宋体" w:hAnsi="宋体" w:eastAsia="宋体"/>
          <w:b w:val="0"/>
          <w:sz w:val="22"/>
        </w:rPr>
        <w:t>确定行业：16_二次元与青年潮流</w:t>
      </w:r>
    </w:p>
    <w:p>
      <w:r>
        <w:rPr>
          <w:rFonts w:ascii="宋体" w:hAnsi="宋体" w:eastAsia="宋体"/>
          <w:b w:val="0"/>
          <w:sz w:val="22"/>
        </w:rPr>
        <w:t>研究对象：16_二次元与青年潮流相关目标人群</w:t>
      </w:r>
    </w:p>
    <w:p>
      <w:r>
        <w:rPr>
          <w:rFonts w:ascii="宋体" w:hAnsi="宋体" w:eastAsia="宋体"/>
          <w:b w:val="0"/>
          <w:sz w:val="22"/>
        </w:rPr>
        <w:t>核心问题/变量：动漫内容及游戏消费和同人创作：人群画像与市场机会</w:t>
      </w:r>
    </w:p>
    <w:p>
      <w:r>
        <w:rPr>
          <w:rFonts w:ascii="宋体" w:hAnsi="宋体" w:eastAsia="宋体"/>
          <w:b/>
          <w:sz w:val="26"/>
        </w:rPr>
        <w:t>二、生成假设（待验证）</w:t>
      </w:r>
    </w:p>
    <w:p>
      <w:r>
        <w:rPr>
          <w:rFonts w:ascii="宋体" w:hAnsi="宋体" w:eastAsia="宋体"/>
          <w:b w:val="0"/>
          <w:sz w:val="22"/>
        </w:rPr>
        <w:t>H1：两个研究点之间存在可检验关系；H2：不同年龄、收入、地区或身份群体之间存在显著差异。</w:t>
      </w:r>
    </w:p>
    <w:p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r>
        <w:rPr>
          <w:rFonts w:ascii="宋体" w:hAnsi="宋体" w:eastAsia="宋体"/>
          <w:b w:val="0"/>
          <w:sz w:val="22"/>
        </w:rPr>
        <w:t>✅主管部门公开政策与统计资料；🔶行业报告和权威媒体线索，参赛前下载原文核验。</w:t>
      </w:r>
    </w:p>
    <w:p>
      <w:r>
        <w:rPr>
          <w:rFonts w:ascii="宋体" w:hAnsi="宋体" w:eastAsia="宋体"/>
          <w:b/>
          <w:sz w:val="26"/>
        </w:rPr>
        <w:t>四、可行性提示</w:t>
      </w:r>
    </w:p>
    <w:p>
      <w:r>
        <w:rPr>
          <w:rFonts w:ascii="宋体" w:hAnsi="宋体" w:eastAsia="宋体"/>
          <w:b w:val="0"/>
          <w:sz w:val="22"/>
        </w:rPr>
        <w:t>建议采用问卷、访谈和实地观察，细化抽样框、样本量及测量量表。</w:t>
      </w:r>
    </w:p>
    <w:p>
      <w:r>
        <w:rPr>
          <w:rFonts w:ascii="宋体" w:hAnsi="宋体" w:eastAsia="宋体"/>
          <w:b/>
          <w:sz w:val="26"/>
        </w:rPr>
        <w:t>五、参考来源</w:t>
      </w:r>
    </w:p>
    <w:p>
      <w:r>
        <w:rPr>
          <w:rFonts w:ascii="宋体" w:hAnsi="宋体" w:eastAsia="宋体"/>
          <w:b w:val="0"/>
          <w:sz w:val="22"/>
        </w:rPr>
        <w:t>国家统计局、行业主管部门、公开行业报告与权威媒体资料。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