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1920. “07”——价格带选择与绿色包装及美容服务：需求、行为与趋势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确定行业：17_美妆服饰与珠宝</w:t>
      </w:r>
    </w:p>
    <w:p>
      <w:r>
        <w:rPr>
          <w:rFonts w:ascii="宋体" w:hAnsi="宋体" w:eastAsia="宋体"/>
          <w:b w:val="0"/>
          <w:sz w:val="22"/>
        </w:rPr>
        <w:t>研究对象：17_美妆服饰与珠宝相关目标人群</w:t>
      </w:r>
    </w:p>
    <w:p>
      <w:r>
        <w:rPr>
          <w:rFonts w:ascii="宋体" w:hAnsi="宋体" w:eastAsia="宋体"/>
          <w:b w:val="0"/>
          <w:sz w:val="22"/>
        </w:rPr>
        <w:t>核心问题/变量：价格带选择与绿色包装及美容服务：需求、行为与趋势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