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1927. “04”——审美趋势和价格带选择：选择逻辑及变化方向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核心问题/变量：审美趋势和价格带选择：选择逻辑及变化方向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