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1932. “01”——孕期服务与婴幼儿喂养及母婴消费：需求、行为与趋势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确定行业：18_母婴育儿与家庭</w:t>
      </w:r>
    </w:p>
    <w:p>
      <w:r>
        <w:rPr>
          <w:rFonts w:ascii="宋体" w:hAnsi="宋体" w:eastAsia="宋体"/>
          <w:b w:val="0"/>
          <w:sz w:val="22"/>
        </w:rPr>
        <w:t>研究对象：18_母婴育儿与家庭相关目标人群</w:t>
      </w:r>
    </w:p>
    <w:p>
      <w:r>
        <w:rPr>
          <w:rFonts w:ascii="宋体" w:hAnsi="宋体" w:eastAsia="宋体"/>
          <w:b w:val="0"/>
          <w:sz w:val="22"/>
        </w:rPr>
        <w:t>核心问题/变量：孕期服务与婴幼儿喂养及母婴消费：需求、行为与趋势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