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1933. “02”——母婴消费和早教需求：选择逻辑及变化方向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确定行业：18_母婴育儿与家庭</w:t>
      </w:r>
    </w:p>
    <w:p>
      <w:r>
        <w:rPr>
          <w:rFonts w:ascii="宋体" w:hAnsi="宋体" w:eastAsia="宋体"/>
          <w:b w:val="0"/>
          <w:sz w:val="22"/>
        </w:rPr>
        <w:t>研究对象：18_母婴育儿与家庭相关目标人群</w:t>
      </w:r>
    </w:p>
    <w:p>
      <w:r>
        <w:rPr>
          <w:rFonts w:ascii="宋体" w:hAnsi="宋体" w:eastAsia="宋体"/>
          <w:b w:val="0"/>
          <w:sz w:val="22"/>
        </w:rPr>
        <w:t>核心问题/变量：母婴消费和早教需求：选择逻辑及变化方向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