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1943. “02”——玩具购买和妈妈情绪及家庭分工：服务评价与未来意愿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确定行业：18_母婴育儿与家庭</w:t>
      </w:r>
    </w:p>
    <w:p>
      <w:r>
        <w:rPr>
          <w:rFonts w:ascii="宋体" w:hAnsi="宋体" w:eastAsia="宋体"/>
          <w:b w:val="0"/>
          <w:sz w:val="22"/>
        </w:rPr>
        <w:t>研究对象：18_母婴育儿与家庭相关目标人群</w:t>
      </w:r>
    </w:p>
    <w:p>
      <w:r>
        <w:rPr>
          <w:rFonts w:ascii="宋体" w:hAnsi="宋体" w:eastAsia="宋体"/>
          <w:b w:val="0"/>
          <w:sz w:val="22"/>
        </w:rPr>
        <w:t>核心问题/变量：玩具购买和妈妈情绪及家庭分工：服务评价与未来意愿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