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1955. “04”——情感服务及婚姻决策和青年恋爱：人群画像与市场机会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确定行业：19_婚恋与社交</w:t>
      </w:r>
    </w:p>
    <w:p>
      <w:r>
        <w:rPr>
          <w:rFonts w:ascii="宋体" w:hAnsi="宋体" w:eastAsia="宋体"/>
          <w:b w:val="0"/>
          <w:sz w:val="22"/>
        </w:rPr>
        <w:t>研究对象：19_婚恋与社交相关目标人群</w:t>
      </w:r>
    </w:p>
    <w:p>
      <w:r>
        <w:rPr>
          <w:rFonts w:ascii="宋体" w:hAnsi="宋体" w:eastAsia="宋体"/>
          <w:b w:val="0"/>
          <w:sz w:val="22"/>
        </w:rPr>
        <w:t>核心问题/变量：情感服务及婚姻决策和青年恋爱：人群画像与市场机会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