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1961. “10”——相亲方式及伴侣选择和家庭关系：人群画像与市场机会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确定行业：19_婚恋与社交</w:t>
      </w:r>
    </w:p>
    <w:p>
      <w:r>
        <w:rPr>
          <w:rFonts w:ascii="宋体" w:hAnsi="宋体" w:eastAsia="宋体"/>
          <w:b w:val="0"/>
          <w:sz w:val="22"/>
        </w:rPr>
        <w:t>研究对象：19_婚恋与社交相关目标人群</w:t>
      </w:r>
    </w:p>
    <w:p>
      <w:r>
        <w:rPr>
          <w:rFonts w:ascii="宋体" w:hAnsi="宋体" w:eastAsia="宋体"/>
          <w:b w:val="0"/>
          <w:sz w:val="22"/>
        </w:rPr>
        <w:t>核心问题/变量：相亲方式及伴侣选择和家庭关系：人群画像与市场机会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