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1965. “04”——婚育意愿和情绪沟通：选择逻辑及变化方向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确定行业：19_婚恋与社交</w:t>
      </w:r>
    </w:p>
    <w:p>
      <w:r>
        <w:rPr>
          <w:rFonts w:ascii="宋体" w:hAnsi="宋体" w:eastAsia="宋体"/>
          <w:b w:val="0"/>
          <w:sz w:val="22"/>
        </w:rPr>
        <w:t>研究对象：19_婚恋与社交相关目标人群</w:t>
      </w:r>
    </w:p>
    <w:p>
      <w:r>
        <w:rPr>
          <w:rFonts w:ascii="宋体" w:hAnsi="宋体" w:eastAsia="宋体"/>
          <w:b w:val="0"/>
          <w:sz w:val="22"/>
        </w:rPr>
        <w:t>核心问题/变量：婚育意愿和情绪沟通：选择逻辑及变化方向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