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1966. “影院观赛，电竞主场”——电竞比赛影院线下观赛需求与票价支付意愿研究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确定行业：20_传媒娱乐与数字内容</w:t>
      </w:r>
    </w:p>
    <w:p>
      <w:r>
        <w:rPr>
          <w:rFonts w:ascii="宋体" w:hAnsi="宋体" w:eastAsia="宋体"/>
          <w:b w:val="0"/>
          <w:sz w:val="22"/>
        </w:rPr>
        <w:t>研究对象：20_传媒娱乐与数字内容相关目标人群</w:t>
      </w:r>
    </w:p>
    <w:p>
      <w:r>
        <w:rPr>
          <w:rFonts w:ascii="宋体" w:hAnsi="宋体" w:eastAsia="宋体"/>
          <w:b w:val="0"/>
          <w:sz w:val="22"/>
        </w:rPr>
        <w:t>核心问题/变量：电竞比赛影院线下观赛需求与票价支付意愿研究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