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1973. “08”——数字文化和内容消费：选择逻辑及变化方向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核心问题/变量：数字文化和内容消费：选择逻辑及变化方向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