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1975. “10”——播客使用及媒体融合和品牌传播：人群画像与市场机会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确定行业：20_传媒娱乐与数字内容</w:t>
      </w:r>
    </w:p>
    <w:p>
      <w:r>
        <w:rPr>
          <w:rFonts w:ascii="宋体" w:hAnsi="宋体" w:eastAsia="宋体"/>
          <w:b w:val="0"/>
          <w:sz w:val="22"/>
        </w:rPr>
        <w:t>研究对象：20_传媒娱乐与数字内容相关目标人群</w:t>
      </w:r>
    </w:p>
    <w:p>
      <w:r>
        <w:rPr>
          <w:rFonts w:ascii="宋体" w:hAnsi="宋体" w:eastAsia="宋体"/>
          <w:b w:val="0"/>
          <w:sz w:val="22"/>
        </w:rPr>
        <w:t>核心问题/变量：播客使用及媒体融合和品牌传播：人群画像与市场机会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