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1977. “02”——用户注意力和影视观看及知识内容：服务评价与未来意愿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确定行业：20_传媒娱乐与数字内容</w:t>
      </w:r>
    </w:p>
    <w:p>
      <w:r>
        <w:rPr>
          <w:rFonts w:ascii="宋体" w:hAnsi="宋体" w:eastAsia="宋体"/>
          <w:b w:val="0"/>
          <w:sz w:val="22"/>
        </w:rPr>
        <w:t>研究对象：20_传媒娱乐与数字内容相关目标人群</w:t>
      </w:r>
    </w:p>
    <w:p>
      <w:r>
        <w:rPr>
          <w:rFonts w:ascii="宋体" w:hAnsi="宋体" w:eastAsia="宋体"/>
          <w:b w:val="0"/>
          <w:sz w:val="22"/>
        </w:rPr>
        <w:t>核心问题/变量：用户注意力和影视观看及知识内容：服务评价与未来意愿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