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1983. “06”——信息公开和应急管理及无障碍建设：服务评价与未来意愿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确定行业：21_公共治理与社会关怀</w:t>
      </w:r>
    </w:p>
    <w:p>
      <w:r>
        <w:rPr>
          <w:rFonts w:ascii="宋体" w:hAnsi="宋体" w:eastAsia="宋体"/>
          <w:b w:val="0"/>
          <w:sz w:val="22"/>
        </w:rPr>
        <w:t>研究对象：21_公共治理与社会关怀相关目标人群</w:t>
      </w:r>
    </w:p>
    <w:p>
      <w:r>
        <w:rPr>
          <w:rFonts w:ascii="宋体" w:hAnsi="宋体" w:eastAsia="宋体"/>
          <w:b w:val="0"/>
          <w:sz w:val="22"/>
        </w:rPr>
        <w:t>核心问题/变量：信息公开和应急管理及无障碍建设：服务评价与未来意愿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