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089. “银发邮轮，海上慢游”——银发群体邮轮、出境游消费研究（补充更新批）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第三批（61-90）·补充更新（2026-10 清理重复/过气后顶替编号）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研究对象：体验过邮轮或考虑银发出境游的 55+ 人群及子女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核心变量/研究问题：邮轮航次选择、费用接受（船票+船内消费）、适老服务（无障碍/医疗）、子女代订行为、满意度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补充更新批（顶替清理编号，详见批次总览）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邮轮代理/银发旅游机构渠道；与467（境内旅游团）区分：聚焦邮轮出境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🔶中国邮轮市场复苏（国际邮轮协会数据需核验）；✅免签政策扩围（中国过境免签240小时、多国免签背景）；✅银发旅游（467题衔接）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