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122. “适老家电，居家焕新”——适老化智能家居产品购买意愿与国补政策效应研究（第五+六批）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研究对象：家有 60+ 老人的中青年及老人本人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核心变量/研究问题：适老化家电品类认知（智能马桶/防跌倒雷达/紧急呼叫）、购买障碍、国补知晓、购买意愿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研究阶段：中期（政策+消费）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家电卖场适老专区/社区居家养老站点；与第三批61以旧换新联动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✅适老化智能家居2026年预计662亿元（2024年547亿，中商）；✅2026年6月北京将智能家居及适老化产品纳入以旧换新补贴、江苏/黑龙江适老化厨电15%补贴；✅全国每年超4000万老年人跌倒、近半数在家（行业数据）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