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124. “银发血压计，健康看得见”——适老化家用医疗器械消费需求研究（第五+六批）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第五+六批（银发康养×宠物金融×工业文旅×祈福静经济×卡牌电竞×社区餐饮×认养农业×情绪茶饮）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研究对象：患慢性病（高血压/糖尿病等）的 60+ 老人或照护家属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核心变量/研究问题：设备使用痛点（字号小/操作难）、功能期望（语音提示/远程互联）、购买决策、满意度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所属选题库：正大杯第五+六批60个特色选题（银发/宠物/工业文旅/祈福/静经济/卡牌/电竞/社区/认养/茶饮）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社区健康中心/药店/慢病管理社群渠道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✅适老化家用医疗器械2026年预计突破3000亿元、年复合增速15%+（镇杰医博会引行业研究）；✅适老化设计（大字体/语音/一键/远程）成产品竞争力核心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