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125. “银发认证，买得安心”——银发产品认证制度下老年消费信任研究（第五+六批）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研究对象：购买过老年用品（老年手机/助听器/护理床等）的老人及子女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核心变量/研究问题：质量信任、认证知晓、购买踩坑经历、对标识付费溢价意愿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研究阶段：早期（政策新窗口）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老年用品店/电商老年频道渠道；紧扣商消费函〔2026〕389号新政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商务部等7部门《关于推动商品消费扩容升级的实施意见》（商消费函〔2026〕389号，2026-08-31）：探索建立银发产品认证制度、鼓励设适老化产品销售专区；✅工信部等六部门将老年用品列为三大万亿级消费领域之首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