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12. “银发康复，服务到家”——居家康复护理服务使用意愿及影响因素研究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仅供参赛团队研究使用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研究对象：术后老人、慢病老人及家庭照护者。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核心变量/研究问题：护理需求、服务可及性、专业信任、费用、家庭照护负担。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研究阶段：中期意愿研究。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所属选题库：正大杯30个最新热点选题（topic-selection）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社区卫生服务中心、康复机构合作。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S4，医疗康复护理扩容提升工程相关政策。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提示：行业报告与政策来源需在参赛前下载原文核对；本地市场结论须以问卷、访谈数据为准。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四、选题依据（研究背景）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