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14. “银龄情绪，陪伴消费”——老年人情绪服务与兴趣社群消费需求调查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研究对象：独居老人、空巢老人和老年兴趣社群成员。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核心变量/研究问题：孤独感、社交需求、兴趣活动、陪伴服务、付费意愿、子女支持。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研究阶段：初期需求调查。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老年大学、社区活动中心和兴趣社团取样。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S6，AgeClub《银发情绪消费 2026》及银发经济分析报告。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