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15. “智慧养老，子女放心”——子女对家庭智能养老服务的购买意愿研究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研究对象：30—55 岁、有老人照护责任的子女。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核心变量/研究问题：照护压力、远程监护需求、服务信任、数据隐私、支付意愿。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研究阶段：中期意愿研究。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老人需求+子女决策双主体问卷。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S6，银发经济报告；S4，康复护理扩容提升政策。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## D. 人工智能、教育与高校改革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