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188. “银发电竞，不服老”——老年人电竞参与动机与数字文体消费研究（第七批）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第七批（数字内容×银发新生活×二次元线下×新职业柔性服务×二手独居×文旅新场景）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研究对象：60+对电子游戏/电竞感兴趣的老年人及其家属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核心变量/研究问题：参与动机（圆梦/社交/防衰）、游戏类型偏好、培训需求、家庭支持、消费意愿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研究阶段：早期（现象前沿）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所属选题库：正大杯第七批30个特色选题（数字内容/银发新生活/二次元线下/新职业柔性服务/二手独居/文旅新场景）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银发电竞班/社区活动中心渠道；议题独特吸睛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成都BSG银龄战队平均年龄65岁、主玩《英雄联盟》、首届亚洲老年电竞杯计划成都举行；✅杭州滨江"银发电竞班"招募3天近150名老人报名、学员平均超55岁、冠军队伍平均61岁；✅杭州银龄战队参加第二届亚奥电子体育周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