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189. “康养旅居，候鸟人生”——银发康养旅居目的地选择与支付意愿研究（第七批）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研究对象：60+老人及子女（参与或关注康养旅居）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核心变量/研究问题：旅居动机（气候/康养/文化）、目的地偏好（森林/温泉/海岛）、时长与预算、信息渠道、满意度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康养旅居机构/旅行社银发团渠道；与89题（银发旅游）区分：聚焦长期旅居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✅康养旅居消费超2万亿元、占银发经济近20%、年增15%—20%（高于传统旅游）；✅黑龙江铁力森林旅居康养、广东江门五天四夜康养路线、沈阳"盛情康养"平台落地25城；✅各地打造"适老型旅游场景"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