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237. “夕阳写真，留住年华”——中老年写真、纪念照消费研究（补充更新批）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第八批（211-240）·补充更新（2026-10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研究对象：拍过中老年写真/家庭纪念照的 50+ 人群及子女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核心变量/研究问题：拍摄动机（弥补遗憾/纪念金婚）、套系价格（千元级）、化妆造型羞怯度、子女代订比例、满意度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研究阶段：早期+中期（细分蓝海）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婚纱影楼/老年摄影机构渠道；与493（黄昏恋婚恋）区分：聚焦影像消费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🔶"为父母拍写真"风潮（小红书/媒体现象需核验）；✅银发经济10.8万亿（央广网）；✅中老年悦己消费（341题衔接）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