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240. “银发手机，大屏大字”——适老化手机、数字终端消费需求研究（第八批）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研究对象：60+老人及为其购机的子女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核心变量/研究问题：使用痛点（字号/操作/诈骗）、适老化功能期望（大字体/一键拨号/远程协助）、品牌选择、价格接受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手机卖场适老专区/社区渠道；与13题（适老空间）、97题（AI眼镜）区分：聚焦数字终端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✅82.9%中老年网民互联网使用存在障碍（70+为87.9%，第二批已核验）；✅工信部适老化无障碍改造（工信部政策）；✅银发经济10万亿大盘（2026年）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