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290. “银发KOL，夕阳红火”——银发网红、老年短视频创作者经济研究（第十批）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研究对象：关注银发博主或自己拍短视频的 55+ 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核心变量/研究问题：观看偏好（生活/搞笑/养生）、创作意愿、变现认知（带货/打赏）、代际形象感知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短视频平台银发用户渠道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🔶银发KOL现象（媒体多次报道）；✅银发人群触网率提升（第50次《中国互联网络发展状况统计报告》：60+网民占比上升🔶）；✅老年网民使用障碍82.9%（第二批已核验）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