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316. “AI 换脸骗局，银发如何防”——老年人AI换脸、拟声诈骗风险认知研究（第十一批）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第十一批（青少年数字保护×AI新应用×全屋智能×银发AI风险×数字素养×数字民生）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研究对象：60+老人及子女（涉网络使用）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核心变量/研究问题：AI诈骗知晓（换脸/拟声冒充亲友）、识别能力、遭遇经历、防诈教育需求、子女协助频率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研究阶段：中期（2026重点打击）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所属选题库：正大杯第十一批30个特色选题（青少年数字保护/AI新应用/全屋智能/银发AI风险/数字素养/数字民生）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社区反诈课堂/老年大学渠道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✅2026年AI换脸、拟声冒充亲友诈骗为重点打击对象；✅各地"敬老月"反诈教育：不点陌生链接、不泄露验证码；✅"医保卡停用/中奖"短信均为诈骗（12333核实）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