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318. “血压数据谁在看”——银发健康可穿戴数据隐私认知研究（第十一批）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研究对象：使用健康监测手表/手环的 50+ 人群及其子女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核心变量/研究问题：数据收集知晓（心率/血压/睡眠）、数据用途认知、隐私顾虑、共享意愿（家人/医生）、平台信任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健康穿戴用户社群/社区渠道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🔶健康数据隐私讨论（媒体/学术）；✅《个人信息保护法》敏感个人信息规则；✅可穿戴设备零售额+100%（国统局，第九轮证据）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