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320. “冷静期，能不能治'银发网购陷阱'”——涉老线上消费“冷静期”制度公众支持度研究（第十一批）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第十一批（青少年数字保护×AI新应用×全屋智能×银发AI风险×数字素养×数字民生）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研究对象：关注银发消费的市民及购买过老年用品的人群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核心变量/研究问题：银发网购踩坑经历、"冷静期"措施知晓、支持度、对平台责任期待、配套建议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研究阶段：早期（政策建议热点）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所属选题库：正大杯第十一批30个特色选题（青少年数字保护/AI新应用/全屋智能/银发AI风险/数字素养/数字民生）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线上问卷+社区座谈会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✅全国政协委员建议设立涉老线上消费"冷静期"、对涉老AI诈骗从重处罚、平台承担连带责任；✅市场监管总局九起养老领域不正当竞争案例（第八轮证据）；✅适老化销售专区政策（商消费函〔2026〕389号）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