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330. “数字人民币，银发好帮手”——数字人民币适老化（大字版、亲属代付）使用研究（第十一批）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研究对象：使用数字人民币的中老年人及代际家庭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核心变量/研究问题：数币认知、使用场景（消费/补贴）、适老功能评价（大字/语音/代付）、与现金对比、使用意愿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试点城市银行/社区渠道；与242题（数币2.0）区分：聚焦适老功能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✅数字人民币个人钱包2.3亿个、累计交易16.7万亿元（第十轮证据）；✅数币2.0平衡计息（2026-01-01起）；✅各地试点适老红包/养老助餐场景（湖南/江苏数币案例，第九轮证据）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