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341. “夕阳红也要美美的”——老年美妆、银发悦己消费行为研究（第十二批）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研究对象：60+有护肤/化妆/形象管理习惯的老年人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核心变量/研究问题：护肤品类（抗皱/美白）、化妆习惯、购买渠道（商场/直播/子女代购）、悦己动机、消费观转变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研究阶段：早期+中期（新兴细分）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社区活动/老年大学舞蹈队渠道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🔶银发美妆兴起（媒体/行业报告需核验）；✅化妆品市场破1.1万亿（国货57.37%，第九轮证据）；✅银发经济10万亿（央广网）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