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342. “银发服饰，舒适与体面”——适老化服饰（易穿脱、功能性）消费需求研究（第十二批）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研究对象：60+老人及为其购衣的子女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核心变量/研究问题：购衣痛点（尺码/穿脱/面料）、功能性需求（防滑/保暖/伸缩）、购买渠道、子女代购比例、满意度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商场银发专区/社区渠道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🔶适老服饰市场（行业报告需核验）；✅老年服装产业政策支持（银发经济政策背景）；✅银发族网购渗透率提升（CNNIC🔶）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