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344. “孝心经济，银发礼物”——子女为父母买单的银发消费（孝心经济）研究（第十二批）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第十二批（居住城市更新×新就业形态×银发2.0×文化娱乐×出行车辆×商业新形态）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研究对象：有 60+ 父母、为其消费的 30—50 岁子女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核心变量/研究问题：消费项目（体检/旅游/智能设备/保健品）、支出金额、决策影响因素（安全/口碑)、与父母意愿冲突、满意度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研究阶段：中期（独特视角）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所属选题库：正大杯第十二批30个特色选题（居住城市更新/新就业形态/银发2.0/文化娱乐/出行车辆/商业新形态）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线上问卷（30—50岁人群）+社区渠道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🔶"孝心经济"（媒体/电商重阳节数据需核验）；✅银发经济2026年10.8万亿（央广网）；✅适老化产品入以旧换新补贴（第五六轮证据）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