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345. “助浴上门，体面洗澡”——银发生活服务（助浴、上门理发、修脚）需求研究（第十二批）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研究对象：60+老人及家属（有助浴/上门服务需求）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核心变量/研究问题：助浴需求场景、上门服务知晓、价格接受、安全信任（资质）、服务获取障碍、满意度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研究阶段：早期+中期（特色服务）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养老机构/社区居家养老服务站渠道；与123题（居家养老上门）区分：聚焦细分生活服务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🔶银发助浴服务（媒体"90后助浴师"报道需引原文）；✅居家养老服务4914亿（第五六轮证据）；✅银发服务新职业（人社部新职业目录背景）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