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85. “银发健身，活力晚年”——老年人健身康体消费需求与参与研究（第三批）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第三批（促消费×新零售×文旅×健康×民生）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研究对象：60岁以上参与健身/广场舞/太极/游泳等活动的老年人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核心变量/研究问题：参与动机、消费支出（场馆/课程/装备）、健康改善感知、持续意愿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所属选题库：正大杯第三批30个热点选题（促消费/新零售/文旅/健康/民生）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社区活动中心/老年大学/广场舞团队渠道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✅全国60岁以上老年人口超3亿、银发经济政策体系完善（🔶最新人口数据待引用官方口径）；✅体育总局推进老年体育场地设施建设（政策背景）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