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127. “毛孩子也有医保”——宠物保险购买意愿与理赔体验研究（第五+六批）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研究对象：养宠人群（犬猫为主）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核心变量/研究问题：保险认知、购买动机、保费接受度、理赔体验、续保意愿、行业信任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研究阶段：中期（高增长+痛点并存）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宠物医院/宠物社群+线上问卷；话题热度高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宠物险保费2020年约5000万元→2025年30亿—35亿元（五年60倍）；✅2025年城镇犬猫1.26亿只、宠物消费市场3126亿元（《2026年中国宠物行业白皮书》）；✅众安2026H1宠物险保费+22.7%至6.91亿元（新华社）；🔶理赔慢、赔付比例低行业痛点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