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130. “宠物上学，行为训练”——宠物行为训练、宠物学校服务消费研究（补充更新批）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第五六批（121-180）·补充更新（2026-10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研究对象：送宠物去训练（服从/纠正/寄训）的养宠人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核心变量/研究问题：训练动因（拆家/扑人/分离焦虑）、课程形式（日托/寄训/线上）、价格（一期几千元）、效果保持、复训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宠物训练学校/训犬师渠道；与421（宠物医疗）区分：聚焦行为训练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🔶宠物训练市场（训犬师行业报道需核验）；✅宠物行业3126亿（2026白皮书）；🔶"问题行为弃养"数据（动物保护组织）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