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131. “宠物咖啡，人宠社交”——宠物友好社交空间（猫咖、狗咖、露营）消费体验研究（第五+六批）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第五+六批（银发康养×宠物金融×工业文旅×祈福静经济×卡牌电竞×社区餐饮×认养农业×情绪茶饮）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研究对象：去过猫咖/狗咖/宠物餐厅的消费者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核心变量/研究问题：消费动机（撸宠解压/社交）、卫生安全顾虑、门票餐饮消费、满意度、复购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所属选题库：正大杯第五+六批60个特色选题（银发/宠物/工业文旅/祈福/静经济/卡牌/电竞/社区/认养/茶饮）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宠物咖啡店/宠物友好商场现场调研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🔶宠物主题咖啡/友好空间为城市休闲新业态（媒体报道）；✅宠物经济扩容、宠物友好城市建设（政策背景，🔶具体城市文件待核验）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