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132. “智能猫砂盆，解放双手”——宠物智能用品（自动喂食、猫砂盆、饮水机）消费意愿研究（第五+六批）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第五+六批（银发康养×宠物金融×工业文旅×祈福静经济×卡牌电竞×社区餐饮×认养农业×情绪茶饮）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研究对象：养宠且关注宠物智能设备的 20—40 岁人群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核心变量/研究问题：品类认知、痛点（出差/清洁）、价格接受、科技信任、购买与推荐意愿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所属选题库：正大杯第五+六批60个特色选题（银发/宠物/工业文旅/祈福/静经济/卡牌/电竞/社区/认养/茶饮）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宠物智能设备电商/社群渠道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🔶宠物智能用品为宠物经济高增速细分（行业报告，需下载核对）；✅中国宠物消费3126亿元（白皮书）与智能家居3亿台（IDC）双重背景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