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201. “宠物美容造型，颜值经济”——宠物美容、洗护造型消费研究（补充更新批）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第七批（181-210）·补充更新（2026-10 清理重复/过气后顶替编号）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研究对象：定期带宠物美容（洗护/造型/SPA）的养宠人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核心变量/研究问题：美容频次与花费、项目选择（基础洗护vs造型比赛）、门店信任（卫生/技术）、宠物应激、审美表达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研究阶段：中期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所属选题库：正大杯500题 · 补充更新批（顶替清理编号，详见批次总览）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宠物美容店现场+养宠社群；与421/130区分：聚焦美容造型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🔶宠物美容服务占比（《2026宠物行业白皮书》细分数据需核实页码）；✅宠物消费3126亿（2026白皮书）；🔶宠物美容学校/职业认证（行业媒体）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提示：✅=官方政策/权威媒体可直接引用；🔶=行业报告/媒体线索，参赛前须下载原文核对。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