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23. “宠物养老，服务升级”——老年宠物照护与宠物慢病管理服务需求研究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仅供参赛团队研究使用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研究对象：养宠 5 年以上、宠物年龄较大的宠物主人。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核心变量/研究问题：宠物年龄、医疗支出、慢病管理需求、护理服务、支付意愿。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研究阶段：初期需求调查。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所属选题库：正大杯30个最新热点选题（topic-selection）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宠物医院、宠物美容店和宠物社群取样。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S9，《2026 年中国宠物行业白皮书》及宠物消费市场报告。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提示：行业报告与政策来源需在参赛前下载原文核对；本地市场结论须以问卷、访谈数据为准。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四、选题依据（研究背景）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