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24. “宠物友好，城市共居”——宠物友好社区服务满意度与治理需求研究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仅供参赛团队研究使用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研究对象：养宠居民、不养宠居民和物业管理者。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核心变量/研究问题：公共空间冲突、卫生、安全、宠物设施、邻里关系、物业服务满意度。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研究阶段：成熟型社会/市场调查。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所属选题库：正大杯30个最新热点选题（topic-selection）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选择 3—5 个不同类型社区进行比较。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S9，宠物经济行业报告；S4，城市公共服务和社会治理政策线索。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提示：行业报告与政策来源需在参赛前下载原文核对；本地市场结论须以问卷、访谈数据为准。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四、选题依据（研究背景）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