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293. “带上毛孩子，一起旅行”——宠物旅行、宠物友好服务消费需求研究（第十批）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研究对象：带宠物出行（自驾/酒店/托运）的养宠人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核心变量/研究问题：出行场景、宠物友好酒店/景区需求、托运服务选择、安全焦虑、消费支出、市场痛点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宠物社群/宠物友好酒店渠道；与127-132（宠物板块）区分：聚焦出行场景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✅2026年宠物消费市场预计3365亿元（+4.3%，亚宠研究院）；✅宠物服务占市场约10%；🔶宠物友好酒店/宠物托运服务增长（媒体）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