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416. “遛宠地图，毛孩子的公园”——城市遛宠公共空间（宠物公园、遛狗区）需求研究（补充更新批）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第十四批（391-420）·补充更新（2026-10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研究对象：日常遛宠的养宠人及公园管理者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核心变量/研究问题：遛宠频率与时间、现有场地不足（禁入/拴绳）、宠物公园需求（围栏/水源/便袋）、冲突化解、建议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宠物公园/社区公园现场+养宠群；与24（宠物友好社区）区分：聚焦公共遛宠空间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🔶宠物公园建设（北京/深圳首批宠物公园媒体需核验）；✅养犬管理条例（各城市法规背景）；✅宠物消费3126亿（2026白皮书）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